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LISTA DE MATERIALES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40" w:lineRule="auto"/>
        <w:jc w:val="center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2° Básico 202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Materiales para uso común </w:t>
      </w:r>
    </w:p>
    <w:tbl>
      <w:tblPr>
        <w:tblStyle w:val="Table1"/>
        <w:tblW w:w="99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670"/>
        <w:gridCol w:w="1290"/>
        <w:tblGridChange w:id="0">
          <w:tblGrid>
            <w:gridCol w:w="8670"/>
            <w:gridCol w:w="1290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 resmas tamaño oficio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pack láminas para termolaminar de 10 unidades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4 plumones de pizarra (colores variados)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block cartulina de colores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set de papel lustre (16X16)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borrador de pizarra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cinta masking tape de color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 pliegos de papel aconcagua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 pliegos de papel kraft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plumón permanente de cualquier color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paquete barra de siliconas 7mm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80" w:before="80" w:lineRule="auto"/>
              <w:ind w:left="30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ind w:left="284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Útiles de aseo para uso común ( Se solicitará reposición durante el año) </w:t>
      </w:r>
    </w:p>
    <w:p w:rsidR="00000000" w:rsidDel="00000000" w:rsidP="00000000" w:rsidRDefault="00000000" w:rsidRPr="00000000" w14:paraId="0000001F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685"/>
        <w:gridCol w:w="1275"/>
        <w:tblGridChange w:id="0">
          <w:tblGrid>
            <w:gridCol w:w="8685"/>
            <w:gridCol w:w="1275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3 toallitas húmedas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 cajas de pañuelos desechables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toalla de papel en rollo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2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Materiales de uso individual </w:t>
      </w:r>
    </w:p>
    <w:p w:rsidR="00000000" w:rsidDel="00000000" w:rsidP="00000000" w:rsidRDefault="00000000" w:rsidRPr="00000000" w14:paraId="00000028">
      <w:pPr>
        <w:widowControl w:val="0"/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y las estudiantes deben mantener en su mochila un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estuche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los siguientes materiales: </w:t>
      </w:r>
    </w:p>
    <w:tbl>
      <w:tblPr>
        <w:tblStyle w:val="Table3"/>
        <w:tblW w:w="99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745"/>
        <w:gridCol w:w="1215"/>
        <w:tblGridChange w:id="0">
          <w:tblGrid>
            <w:gridCol w:w="8745"/>
            <w:gridCol w:w="1215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 lápices grafitos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goma de borrar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tijera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pegamento en barra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set de lápices de colores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sacapunta con receptáculo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lápiz bicolor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carpeta tipo acordeón tamaño oficio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</w:rPr>
              <w:drawing>
                <wp:inline distB="114300" distT="114300" distL="114300" distR="114300">
                  <wp:extent cx="1513522" cy="156349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522" cy="1563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80" w:before="8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ind w:left="28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Los y las estudiantes deben traer una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caja de 11 litros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con los siguientes materiales que deben estar marcados con el nombre y apellido, curso del estudiante.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.0005454545455" w:lineRule="auto"/>
              <w:ind w:left="580" w:hanging="28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set de lápices de madera  24 colores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.0005454545455" w:lineRule="auto"/>
              <w:ind w:left="580" w:hanging="28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 paquetes de plasticina de colores (10 a 12 colores)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.0005454545455" w:lineRule="auto"/>
              <w:ind w:left="580" w:hanging="28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caja de crayones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.0005454545455" w:lineRule="auto"/>
              <w:ind w:left="580" w:hanging="28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 potes de masa para modelar (estilo play-doh)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.0005454545455" w:lineRule="auto"/>
              <w:ind w:left="580" w:hanging="28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set de  témpera de  12 colores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.0005454545455" w:lineRule="auto"/>
              <w:ind w:left="580" w:hanging="28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set de pinceles espatulado de buena calidad (5 pinceles de distinto número)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before="238" w:line="240" w:lineRule="auto"/>
        <w:ind w:right="693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*Todos los materiales de uso individual deben estar marcados con nombre y apellido en su respectiva caja y estuche. Estos materiales son adicionales a los de uso común en sala. </w:t>
      </w:r>
    </w:p>
    <w:p w:rsidR="00000000" w:rsidDel="00000000" w:rsidP="00000000" w:rsidRDefault="00000000" w:rsidRPr="00000000" w14:paraId="00000044">
      <w:pPr>
        <w:widowControl w:val="0"/>
        <w:spacing w:before="238"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Materiales por asignatura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Maths</w:t>
      </w:r>
    </w:p>
    <w:tbl>
      <w:tblPr>
        <w:tblStyle w:val="Table5"/>
        <w:tblW w:w="99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284"/>
              </w:tabs>
              <w:spacing w:after="80" w:before="80" w:lineRule="auto"/>
              <w:ind w:left="164" w:right="551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cuaderno college de 100 hojas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cuadriculado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con forro color verde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284"/>
              </w:tabs>
              <w:spacing w:after="80" w:before="80" w:line="276" w:lineRule="auto"/>
              <w:ind w:left="160" w:right="56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Math Be 2  (Vol. 1 &amp; 2) y Workbook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(Editorial Santillana, Richmond)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1"/>
                  <w:szCs w:val="21"/>
                  <w:u w:val="single"/>
                  <w:rtl w:val="0"/>
                </w:rPr>
                <w:t xml:space="preserve">https://pagos.santillanacompartir.cl/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284"/>
              </w:tabs>
              <w:spacing w:after="80" w:before="80" w:line="244.8" w:lineRule="auto"/>
              <w:ind w:left="160" w:right="56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Material Concreto: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(Disponible en Galileo Libros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155cc"/>
                <w:sz w:val="21"/>
                <w:szCs w:val="21"/>
                <w:highlight w:val="white"/>
                <w:u w:val="single"/>
                <w:rtl w:val="0"/>
              </w:rPr>
              <w:t xml:space="preserve">galileo@galileo.cl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1"/>
                <w:szCs w:val="21"/>
                <w:highlight w:val="white"/>
                <w:rtl w:val="0"/>
              </w:rPr>
              <w:t xml:space="preserve">o llamando al +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1"/>
                <w:szCs w:val="21"/>
                <w:highlight w:val="white"/>
                <w:rtl w:val="0"/>
              </w:rPr>
              <w:t xml:space="preserve">56 2 2947 9350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) (Reutilizar los del año anterior)</w:t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284"/>
              </w:tabs>
              <w:spacing w:after="80" w:before="80" w:line="244.8" w:lineRule="auto"/>
              <w:ind w:left="160" w:right="56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set de Cubos Multiencaje 100 unidades (En bolsa o caja pequeña marcada con su nombre y apellido)</w:t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284"/>
              </w:tabs>
              <w:spacing w:after="80" w:before="80" w:line="244.8" w:lineRule="auto"/>
              <w:ind w:left="160" w:right="56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Tablero numérico Goma eva Para cubo Multiencaje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284"/>
              </w:tabs>
              <w:spacing w:after="80" w:before="80" w:line="245" w:lineRule="auto"/>
              <w:ind w:left="0" w:right="551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   50 unidades de palos de fósforos sin cabeza de colores (en bolsa y en caja de materiales)</w:t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after="12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English </w:t>
      </w:r>
    </w:p>
    <w:tbl>
      <w:tblPr>
        <w:tblStyle w:val="Table6"/>
        <w:tblpPr w:leftFromText="141" w:rightFromText="141" w:topFromText="0" w:bottomFromText="0" w:vertAnchor="text" w:horzAnchor="text" w:tblpX="0" w:tblpY="1"/>
        <w:tblW w:w="991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69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284"/>
              </w:tabs>
              <w:spacing w:after="80" w:before="80" w:lineRule="auto"/>
              <w:ind w:left="164" w:right="551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cuaderno college de 100 hojas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caligrafía horizontal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con forro color naranja (considerar reutilizar del año anterior)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8736"/>
              </w:tabs>
              <w:spacing w:after="120" w:before="120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1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130"/>
              <w:tblGridChange w:id="0">
                <w:tblGrid>
                  <w:gridCol w:w="8130"/>
                </w:tblGrid>
              </w:tblGridChange>
            </w:tblGrid>
            <w:tr>
              <w:trPr>
                <w:cantSplit w:val="0"/>
                <w:trHeight w:val="4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40.0" w:type="dxa"/>
                    <w:bottom w:w="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tabs>
                      <w:tab w:val="left" w:leader="none" w:pos="8736"/>
                    </w:tabs>
                    <w:spacing w:after="120" w:before="120" w:line="276" w:lineRule="auto"/>
                    <w:ind w:left="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Texto: Learn with us 2 (Editorial Oxford) Librería Books and Bits</w:t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8736"/>
              </w:tabs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ISBN de texto. LEARN WITH US 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  (Solo Activity Book) . </w:t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8736"/>
              </w:tabs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ISBN 9780194908436.</w:t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before="24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24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Natural Science</w:t>
      </w:r>
    </w:p>
    <w:p w:rsidR="00000000" w:rsidDel="00000000" w:rsidP="00000000" w:rsidRDefault="00000000" w:rsidRPr="00000000" w14:paraId="00000056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after="120" w:before="120" w:lineRule="auto"/>
              <w:ind w:left="164" w:right="835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1 cuaderno college de ciencias 40 hojas (de preferencia) con forro color amarillo 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120" w:before="120" w:lineRule="auto"/>
              <w:ind w:left="164" w:right="835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</w:rPr>
              <w:drawing>
                <wp:inline distB="114300" distT="114300" distL="114300" distR="114300">
                  <wp:extent cx="1236957" cy="1274441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57" cy="12744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after="120" w:before="120" w:lineRule="auto"/>
              <w:ind w:right="835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Texto: Be Science 2 Editorial Richmond  Santillana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1"/>
                  <w:sz w:val="21"/>
                  <w:szCs w:val="21"/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1"/>
                  <w:szCs w:val="21"/>
                  <w:u w:val="single"/>
                  <w:rtl w:val="0"/>
                </w:rPr>
                <w:t xml:space="preserve">https://pagos.santillanacompartir.cl/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Social studies </w:t>
      </w:r>
    </w:p>
    <w:p w:rsidR="00000000" w:rsidDel="00000000" w:rsidP="00000000" w:rsidRDefault="00000000" w:rsidRPr="00000000" w14:paraId="0000005C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after="120" w:before="120" w:lineRule="auto"/>
              <w:ind w:left="164" w:right="835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1 cuaderno college de ciencias 40 hojas (de preferencia) con forro color rojo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after="120" w:before="120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Texto: Be Social Studies 2 Editorial Richmond  Santillana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1"/>
                  <w:sz w:val="21"/>
                  <w:szCs w:val="21"/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1"/>
                  <w:szCs w:val="21"/>
                  <w:u w:val="single"/>
                  <w:rtl w:val="0"/>
                </w:rPr>
                <w:t xml:space="preserve">https://pagos.santillanacompartir.cl/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Lenguaje y Comunicación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284"/>
              </w:tabs>
              <w:spacing w:after="80" w:before="80" w:lineRule="auto"/>
              <w:ind w:left="164" w:right="551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cuaderno college de 100 hojas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caligrafía horizontal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con forro color azul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before="120" w:line="276" w:lineRule="auto"/>
              <w:ind w:left="160" w:firstLine="0"/>
              <w:rPr>
                <w:rFonts w:ascii="Calibri" w:cs="Calibri" w:eastAsia="Calibri" w:hAnsi="Calibri"/>
                <w:b w:val="1"/>
                <w:color w:val="0563c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Texto: Lenguaje 2 básico. Savia. Editorial SM (Pack Texto, cuadernillo y cuento) Venta en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563c1"/>
                <w:sz w:val="21"/>
                <w:szCs w:val="21"/>
                <w:rtl w:val="0"/>
              </w:rPr>
              <w:t xml:space="preserve">www.tiendasm.cl</w:t>
            </w:r>
          </w:p>
          <w:p w:rsidR="00000000" w:rsidDel="00000000" w:rsidP="00000000" w:rsidRDefault="00000000" w:rsidRPr="00000000" w14:paraId="00000064">
            <w:pPr>
              <w:widowControl w:val="0"/>
              <w:spacing w:before="120" w:line="244.8" w:lineRule="auto"/>
              <w:ind w:left="160" w:right="220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Caligrafix: Horizontal 2° básico (http://caligrafix.cl/productos/) (disponible en librería y supermercados).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120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" w:firstLine="0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Plan Lector 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" w:firstLine="0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560"/>
        <w:gridCol w:w="6662"/>
        <w:gridCol w:w="1701"/>
        <w:tblGridChange w:id="0">
          <w:tblGrid>
            <w:gridCol w:w="1560"/>
            <w:gridCol w:w="6662"/>
            <w:gridCol w:w="1701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ind w:right="832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del libro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utor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Editorial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after="100" w:before="100" w:lineRule="auto"/>
              <w:ind w:right="-107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Caperucita Roja (tal como se lo contaron a Jorge) / Luís María Pescetti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after="100" w:before="100" w:lineRule="auto"/>
              <w:ind w:right="-97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Alfaguara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after="100" w:before="100" w:lineRule="auto"/>
              <w:ind w:right="406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Un perro confundido / Cecilia Beuchat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after="100" w:before="100" w:lineRule="auto"/>
              <w:ind w:right="903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Mayo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ind w:right="545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La polilla del baúl / Mario Carvajal, Carlos Seranati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ind w:right="585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Alfagura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Junio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after="100" w:before="100" w:lineRule="auto"/>
              <w:ind w:right="343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La Tortulenta / Esteban Cabezas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ind w:right="751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Ju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after="100" w:before="100" w:lineRule="auto"/>
              <w:ind w:right="341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En la casa del lado / Catalina Covacevich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after="100" w:before="100" w:lineRule="auto"/>
              <w:ind w:right="751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Zig-Zag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Agosto 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ind w:right="255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La historia de Manú / Ana María del Río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Alfagura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Septiembre 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after="100" w:before="100" w:lineRule="auto"/>
              <w:ind w:right="209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El Jalilé azul / Úrsula Wölfel 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after="100" w:before="100" w:lineRule="auto"/>
              <w:ind w:right="734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Octubre 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after="100" w:before="100" w:lineRule="auto"/>
              <w:ind w:right="315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La bruja aguja y más historias / Aná María Guiraldes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ind w:right="-97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Zig-Zag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Noviembre 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after="100" w:before="100" w:line="251" w:lineRule="auto"/>
              <w:ind w:right="-107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Los pingüinos emperadores llegan al Norte Chico / Myriam Yagnam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Rule="auto"/>
              <w:ind w:right="734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Zig-Zag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spacing w:after="120" w:before="24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Música </w:t>
      </w:r>
    </w:p>
    <w:tbl>
      <w:tblPr>
        <w:tblStyle w:val="Table12"/>
        <w:tblW w:w="99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"/>
              </w:tabs>
              <w:spacing w:after="120" w:before="120" w:lineRule="auto"/>
              <w:ind w:left="164" w:firstLine="0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xilofóno o metalófono - carpeta de color n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egro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Ciencias Aplicadas</w:t>
      </w:r>
    </w:p>
    <w:p w:rsidR="00000000" w:rsidDel="00000000" w:rsidP="00000000" w:rsidRDefault="00000000" w:rsidRPr="00000000" w14:paraId="0000008B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*Considerar reutilizar los materiales  del año anterior si es que se encuentran en buen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widowControl w:val="0"/>
              <w:spacing w:after="120" w:before="120" w:lineRule="auto"/>
              <w:ind w:left="164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Cuaderno college de 100 hojas con forro transparente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120" w:before="120" w:lineRule="auto"/>
              <w:ind w:left="164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Par de guantes de jardín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120" w:before="120" w:lineRule="auto"/>
              <w:ind w:left="164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Pala pequeña de mano, de materiales resistentes y con punta redondeada (no cuadrada)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120" w:before="120" w:lineRule="auto"/>
              <w:ind w:left="164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 Gorro de pescador o jockey con capa tipo legionario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120" w:before="120" w:lineRule="auto"/>
              <w:ind w:left="164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Mascarilla y antiparras en caso de alergia </w:t>
            </w:r>
          </w:p>
        </w:tc>
      </w:tr>
    </w:tbl>
    <w:p w:rsidR="00000000" w:rsidDel="00000000" w:rsidP="00000000" w:rsidRDefault="00000000" w:rsidRPr="00000000" w14:paraId="00000092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Arts and Technology </w:t>
      </w:r>
    </w:p>
    <w:p w:rsidR="00000000" w:rsidDel="00000000" w:rsidP="00000000" w:rsidRDefault="00000000" w:rsidRPr="00000000" w14:paraId="00000094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6" w:hanging="30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Los materiales para las asignaturas de Arts y Technology serán pedidos en el transcurso de los semestres según necesidad de él y la docente de asignatura.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before="13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widowControl w:val="0"/>
        <w:spacing w:before="13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before="13"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Considerar reutilizar los materiales (cuadernos, forros, carpetas, etc.) del año anterior si es que se encuentran en buen estado.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Útiles de aseo personal 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y las estudiantes deben tener de forma permanente en su mochila o bolsa marcada con nombre: 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1"/>
        </w:numPr>
        <w:spacing w:line="240" w:lineRule="auto"/>
        <w:ind w:left="284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 cepillo de dientes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1"/>
        </w:numPr>
        <w:spacing w:line="240" w:lineRule="auto"/>
        <w:ind w:left="284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 pasta de diente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1"/>
        </w:numPr>
        <w:spacing w:line="240" w:lineRule="auto"/>
        <w:ind w:left="284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 vaso plástico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1"/>
        </w:numPr>
        <w:spacing w:line="240" w:lineRule="auto"/>
        <w:ind w:left="284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 toalla de género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1"/>
        </w:numPr>
        <w:spacing w:line="240" w:lineRule="auto"/>
        <w:ind w:left="284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 peineta o cepillo de pelo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1"/>
        </w:numPr>
        <w:spacing w:line="240" w:lineRule="auto"/>
        <w:ind w:left="284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 bloqueador solar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b w:val="1"/>
          <w:color w:val="000000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Para Ed. Física y Salud (Mr. Franco) :</w:t>
      </w:r>
      <w:r w:rsidDel="00000000" w:rsidR="00000000" w:rsidRPr="00000000">
        <w:rPr>
          <w:sz w:val="21"/>
          <w:szCs w:val="21"/>
          <w:rtl w:val="0"/>
        </w:rPr>
        <w:t xml:space="preserve"> Polera de recambio, toalla, desodorante.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HOCKEY</w:t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9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Palo de hockey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Protector Bucal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Canilleras</w:t>
            </w:r>
          </w:p>
        </w:tc>
      </w:tr>
    </w:tbl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8720" w:w="12240" w:orient="portrait"/>
      <w:pgMar w:bottom="1134" w:top="1134" w:left="1134" w:right="1134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spacing w:before="12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76450" cy="188917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019" l="0" r="0" t="0"/>
                  <a:stretch>
                    <a:fillRect/>
                  </a:stretch>
                </pic:blipFill>
                <pic:spPr>
                  <a:xfrm>
                    <a:off x="0" y="0"/>
                    <a:ext cx="2076450" cy="18891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agos.santillanacompartir.cl/" TargetMode="External"/><Relationship Id="rId10" Type="http://schemas.openxmlformats.org/officeDocument/2006/relationships/hyperlink" Target="https://pagos.santillanacompartir.cl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pagos.santillanacompartir.c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gos.santillanacompartir.cl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pagos.santillanacompartir.cl/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